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90D" w:rsidRDefault="0010790D" w:rsidP="0010790D">
      <w:pPr>
        <w:spacing w:line="50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  <w:r>
        <w:rPr>
          <w:rFonts w:ascii="黑体" w:eastAsia="黑体" w:hAnsi="黑体" w:cs="仿宋_GB2312" w:hint="eastAsia"/>
          <w:bCs/>
          <w:color w:val="000000"/>
          <w:sz w:val="32"/>
          <w:szCs w:val="32"/>
        </w:rPr>
        <w:t>附件1.参会回执</w:t>
      </w:r>
    </w:p>
    <w:p w:rsidR="0010790D" w:rsidRDefault="0010790D" w:rsidP="0010790D">
      <w:pPr>
        <w:spacing w:line="440" w:lineRule="exact"/>
        <w:ind w:right="480"/>
        <w:rPr>
          <w:rFonts w:ascii="仿宋_GB2312" w:eastAsia="仿宋_GB2312" w:hAnsi="仿宋_GB2312" w:cs="仿宋_GB2312"/>
          <w:color w:val="FF0000"/>
          <w:sz w:val="30"/>
          <w:szCs w:val="30"/>
        </w:rPr>
      </w:pPr>
    </w:p>
    <w:p w:rsidR="0010790D" w:rsidRDefault="0010790D" w:rsidP="0010790D">
      <w:pPr>
        <w:spacing w:line="360" w:lineRule="auto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山东社科论坛——</w:t>
      </w:r>
    </w:p>
    <w:p w:rsidR="0010790D" w:rsidRDefault="003B2122" w:rsidP="0010790D">
      <w:pPr>
        <w:spacing w:line="360" w:lineRule="auto"/>
        <w:jc w:val="center"/>
        <w:rPr>
          <w:rFonts w:ascii="方正小标宋简体" w:eastAsia="方正小标宋简体" w:hAnsi="黑体" w:cs="黑体"/>
          <w:bCs/>
          <w:spacing w:val="-20"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pacing w:val="-20"/>
          <w:sz w:val="36"/>
          <w:szCs w:val="36"/>
        </w:rPr>
        <w:t>交通强省</w:t>
      </w:r>
      <w:r>
        <w:rPr>
          <w:rFonts w:ascii="方正小标宋简体" w:eastAsia="方正小标宋简体" w:hAnsi="黑体" w:cs="黑体"/>
          <w:bCs/>
          <w:spacing w:val="-20"/>
          <w:sz w:val="36"/>
          <w:szCs w:val="36"/>
        </w:rPr>
        <w:t>战略与经济转型升级</w:t>
      </w:r>
      <w:bookmarkStart w:id="0" w:name="_GoBack"/>
      <w:bookmarkEnd w:id="0"/>
      <w:r w:rsidR="0010790D">
        <w:rPr>
          <w:rFonts w:ascii="方正小标宋简体" w:eastAsia="方正小标宋简体" w:hAnsi="黑体" w:cs="黑体" w:hint="eastAsia"/>
          <w:bCs/>
          <w:spacing w:val="-20"/>
          <w:sz w:val="36"/>
          <w:szCs w:val="36"/>
        </w:rPr>
        <w:t>研讨会</w:t>
      </w:r>
    </w:p>
    <w:p w:rsidR="0010790D" w:rsidRDefault="0010790D" w:rsidP="0010790D">
      <w:pPr>
        <w:spacing w:line="360" w:lineRule="auto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参会回执</w:t>
      </w:r>
    </w:p>
    <w:p w:rsidR="0010790D" w:rsidRDefault="0010790D" w:rsidP="0010790D">
      <w:pPr>
        <w:spacing w:line="480" w:lineRule="exact"/>
        <w:ind w:firstLineChars="1250" w:firstLine="3750"/>
        <w:jc w:val="right"/>
        <w:rPr>
          <w:rFonts w:ascii="仿宋_GB2312" w:eastAsia="仿宋_GB2312" w:hAnsi="仿宋_GB2312" w:cs="仿宋_GB2312"/>
          <w:sz w:val="30"/>
          <w:szCs w:val="3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1189"/>
        <w:gridCol w:w="151"/>
        <w:gridCol w:w="689"/>
        <w:gridCol w:w="71"/>
        <w:gridCol w:w="860"/>
        <w:gridCol w:w="164"/>
        <w:gridCol w:w="1170"/>
        <w:gridCol w:w="1054"/>
        <w:gridCol w:w="855"/>
        <w:gridCol w:w="1725"/>
      </w:tblGrid>
      <w:tr w:rsidR="0010790D" w:rsidTr="001F0443">
        <w:trPr>
          <w:trHeight w:val="756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姓 名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性别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ind w:right="280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职称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职务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10790D" w:rsidTr="001F0443">
        <w:trPr>
          <w:trHeight w:val="871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534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邮编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10790D" w:rsidTr="001F0443">
        <w:trPr>
          <w:trHeight w:val="871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79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ind w:left="680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10790D" w:rsidTr="001F0443">
        <w:trPr>
          <w:trHeight w:val="926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联系电话</w:t>
            </w:r>
          </w:p>
        </w:tc>
        <w:tc>
          <w:tcPr>
            <w:tcW w:w="31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Email</w:t>
            </w:r>
          </w:p>
        </w:tc>
        <w:tc>
          <w:tcPr>
            <w:tcW w:w="36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10790D" w:rsidTr="001F0443">
        <w:trPr>
          <w:trHeight w:val="891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论文题目</w:t>
            </w:r>
          </w:p>
        </w:tc>
        <w:tc>
          <w:tcPr>
            <w:tcW w:w="79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0" w:lineRule="atLeas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10790D" w:rsidTr="001F0443">
        <w:trPr>
          <w:trHeight w:val="1055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是否住宿</w:t>
            </w:r>
          </w:p>
        </w:tc>
        <w:tc>
          <w:tcPr>
            <w:tcW w:w="118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要求</w:t>
            </w:r>
          </w:p>
        </w:tc>
        <w:tc>
          <w:tcPr>
            <w:tcW w:w="1095" w:type="dxa"/>
            <w:gridSpan w:val="3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单间</w:t>
            </w:r>
          </w:p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合住</w:t>
            </w:r>
          </w:p>
        </w:tc>
        <w:tc>
          <w:tcPr>
            <w:tcW w:w="1170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住宿时间</w:t>
            </w:r>
          </w:p>
        </w:tc>
        <w:tc>
          <w:tcPr>
            <w:tcW w:w="36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  <w:tr w:rsidR="0010790D" w:rsidTr="001F0443">
        <w:trPr>
          <w:trHeight w:val="1124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sz w:val="28"/>
                <w:szCs w:val="28"/>
              </w:rPr>
              <w:t>备注</w:t>
            </w:r>
          </w:p>
        </w:tc>
        <w:tc>
          <w:tcPr>
            <w:tcW w:w="79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0790D" w:rsidRDefault="0010790D" w:rsidP="001F0443">
            <w:pPr>
              <w:spacing w:line="280" w:lineRule="exact"/>
              <w:jc w:val="center"/>
              <w:rPr>
                <w:rFonts w:ascii="黑体" w:eastAsia="黑体" w:hAnsi="黑体" w:cs="宋体"/>
                <w:sz w:val="28"/>
                <w:szCs w:val="28"/>
              </w:rPr>
            </w:pPr>
          </w:p>
        </w:tc>
      </w:tr>
    </w:tbl>
    <w:p w:rsidR="0010790D" w:rsidRDefault="0010790D" w:rsidP="0010790D">
      <w:pPr>
        <w:spacing w:line="560" w:lineRule="exact"/>
        <w:rPr>
          <w:rFonts w:ascii="仿宋_GB2312" w:eastAsia="仿宋_GB2312" w:hAnsi="宋体" w:cs="仿宋_GB2312"/>
          <w:bCs/>
          <w:color w:val="000000"/>
          <w:sz w:val="30"/>
          <w:szCs w:val="30"/>
        </w:rPr>
      </w:pPr>
    </w:p>
    <w:p w:rsidR="0010790D" w:rsidRDefault="0010790D" w:rsidP="0010790D">
      <w:pPr>
        <w:ind w:firstLine="420"/>
        <w:rPr>
          <w:rFonts w:ascii="Calibri" w:hAnsi="Calibri"/>
          <w:szCs w:val="22"/>
        </w:rPr>
      </w:pPr>
    </w:p>
    <w:p w:rsidR="0010790D" w:rsidRDefault="0010790D" w:rsidP="0010790D">
      <w:pPr>
        <w:spacing w:line="600" w:lineRule="exact"/>
        <w:rPr>
          <w:rFonts w:ascii="仿宋_GB2312" w:eastAsia="仿宋_GB2312"/>
          <w:sz w:val="32"/>
          <w:szCs w:val="40"/>
        </w:rPr>
      </w:pPr>
    </w:p>
    <w:p w:rsidR="0010790D" w:rsidRDefault="0010790D" w:rsidP="0010790D">
      <w:pPr>
        <w:spacing w:line="600" w:lineRule="exact"/>
        <w:rPr>
          <w:rFonts w:ascii="仿宋_GB2312" w:eastAsia="仿宋_GB2312"/>
          <w:sz w:val="32"/>
          <w:szCs w:val="40"/>
        </w:rPr>
      </w:pPr>
    </w:p>
    <w:p w:rsidR="0010790D" w:rsidRDefault="0010790D" w:rsidP="0010790D">
      <w:pPr>
        <w:spacing w:line="600" w:lineRule="exact"/>
        <w:rPr>
          <w:rFonts w:ascii="仿宋_GB2312" w:eastAsia="仿宋_GB2312"/>
          <w:sz w:val="32"/>
          <w:szCs w:val="40"/>
        </w:rPr>
      </w:pPr>
    </w:p>
    <w:p w:rsidR="0010790D" w:rsidRDefault="0010790D" w:rsidP="0010790D">
      <w:pPr>
        <w:spacing w:line="600" w:lineRule="exact"/>
        <w:rPr>
          <w:rFonts w:ascii="仿宋_GB2312" w:eastAsia="仿宋_GB2312"/>
          <w:sz w:val="32"/>
          <w:szCs w:val="40"/>
        </w:rPr>
      </w:pPr>
    </w:p>
    <w:p w:rsidR="0010790D" w:rsidRDefault="0010790D" w:rsidP="0010790D">
      <w:pPr>
        <w:spacing w:line="600" w:lineRule="exact"/>
        <w:rPr>
          <w:rFonts w:ascii="黑体" w:eastAsia="黑体" w:hAnsi="黑体"/>
          <w:sz w:val="32"/>
          <w:szCs w:val="40"/>
        </w:rPr>
      </w:pPr>
    </w:p>
    <w:p w:rsidR="0010790D" w:rsidRDefault="0010790D" w:rsidP="0010790D">
      <w:pPr>
        <w:spacing w:line="600" w:lineRule="exact"/>
        <w:rPr>
          <w:rFonts w:ascii="黑体" w:eastAsia="黑体" w:hAnsi="黑体"/>
          <w:sz w:val="32"/>
          <w:szCs w:val="40"/>
        </w:rPr>
      </w:pPr>
      <w:r>
        <w:rPr>
          <w:rFonts w:ascii="黑体" w:eastAsia="黑体" w:hAnsi="黑体" w:hint="eastAsia"/>
          <w:sz w:val="32"/>
          <w:szCs w:val="40"/>
        </w:rPr>
        <w:t>附件2.论文编排格式</w:t>
      </w:r>
    </w:p>
    <w:p w:rsidR="0010790D" w:rsidRDefault="0010790D" w:rsidP="0010790D">
      <w:pPr>
        <w:spacing w:line="600" w:lineRule="exact"/>
        <w:rPr>
          <w:rFonts w:ascii="黑体" w:eastAsia="黑体" w:hAnsi="黑体"/>
          <w:sz w:val="32"/>
          <w:szCs w:val="40"/>
        </w:rPr>
      </w:pPr>
    </w:p>
    <w:p w:rsidR="0010790D" w:rsidRDefault="0010790D" w:rsidP="0010790D">
      <w:pPr>
        <w:spacing w:line="600" w:lineRule="exact"/>
        <w:jc w:val="center"/>
        <w:rPr>
          <w:rFonts w:ascii="方正小标宋简体" w:eastAsia="方正小标宋简体" w:hAnsi="黑体" w:cs="黑体"/>
          <w:bCs/>
          <w:sz w:val="36"/>
          <w:szCs w:val="36"/>
        </w:rPr>
      </w:pPr>
      <w:r>
        <w:rPr>
          <w:rFonts w:ascii="方正小标宋简体" w:eastAsia="方正小标宋简体" w:hAnsi="黑体" w:cs="黑体" w:hint="eastAsia"/>
          <w:bCs/>
          <w:sz w:val="36"/>
          <w:szCs w:val="36"/>
        </w:rPr>
        <w:t>山东社科论坛论文编排统一格式</w:t>
      </w:r>
    </w:p>
    <w:p w:rsidR="0010790D" w:rsidRDefault="0010790D" w:rsidP="0010790D">
      <w:pPr>
        <w:spacing w:line="600" w:lineRule="exact"/>
        <w:ind w:firstLineChars="197" w:firstLine="593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1、题目：</w:t>
      </w:r>
      <w:r>
        <w:rPr>
          <w:rFonts w:ascii="仿宋_GB2312" w:eastAsia="仿宋_GB2312" w:hAnsi="宋体" w:hint="eastAsia"/>
          <w:sz w:val="30"/>
          <w:szCs w:val="30"/>
        </w:rPr>
        <w:t>（正标题：小二号黑体；副标题：小三号楷体）</w:t>
      </w:r>
    </w:p>
    <w:p w:rsidR="0010790D" w:rsidRDefault="0010790D" w:rsidP="0010790D">
      <w:pPr>
        <w:spacing w:line="600" w:lineRule="exact"/>
        <w:ind w:firstLineChars="197" w:firstLine="593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2、作者：</w:t>
      </w:r>
      <w:r>
        <w:rPr>
          <w:rFonts w:ascii="仿宋_GB2312" w:eastAsia="仿宋_GB2312" w:hAnsi="宋体" w:hint="eastAsia"/>
          <w:sz w:val="30"/>
          <w:szCs w:val="30"/>
        </w:rPr>
        <w:t>(四号楷体)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 xml:space="preserve"> 3、“摘要”</w:t>
      </w:r>
      <w:r>
        <w:rPr>
          <w:rFonts w:ascii="仿宋_GB2312" w:eastAsia="仿宋_GB2312" w:hAnsi="宋体" w:hint="eastAsia"/>
          <w:sz w:val="30"/>
          <w:szCs w:val="30"/>
        </w:rPr>
        <w:t>（五号黑体），摘要正文（楷体五号）</w:t>
      </w:r>
    </w:p>
    <w:p w:rsidR="0010790D" w:rsidRDefault="0010790D" w:rsidP="0010790D">
      <w:pPr>
        <w:spacing w:line="600" w:lineRule="exact"/>
        <w:ind w:firstLineChars="197" w:firstLine="593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4、“关键词”</w:t>
      </w:r>
      <w:r>
        <w:rPr>
          <w:rFonts w:ascii="仿宋_GB2312" w:eastAsia="仿宋_GB2312" w:hAnsi="宋体" w:hint="eastAsia"/>
          <w:sz w:val="30"/>
          <w:szCs w:val="30"/>
        </w:rPr>
        <w:t>（五号黑体），关键词正文（五号楷体，多个关键词之间用“；”隔开）。</w:t>
      </w:r>
    </w:p>
    <w:p w:rsidR="0010790D" w:rsidRDefault="0010790D" w:rsidP="0010790D">
      <w:pPr>
        <w:spacing w:line="600" w:lineRule="exact"/>
        <w:ind w:firstLineChars="197" w:firstLine="593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5、正文</w:t>
      </w:r>
      <w:r>
        <w:rPr>
          <w:rFonts w:ascii="仿宋_GB2312" w:eastAsia="仿宋_GB2312" w:hAnsi="宋体" w:hint="eastAsia"/>
          <w:sz w:val="30"/>
          <w:szCs w:val="30"/>
        </w:rPr>
        <w:t>：五号宋体，一级标题“一”和二级标题“（一）”，均采用黑体五号；同时一级标题上下各空半行。正文行间距为“固定值15”。</w:t>
      </w:r>
    </w:p>
    <w:p w:rsidR="0010790D" w:rsidRDefault="0010790D" w:rsidP="0010790D">
      <w:pPr>
        <w:spacing w:line="600" w:lineRule="exact"/>
        <w:ind w:firstLineChars="197" w:firstLine="593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6、注释和参考文献。</w:t>
      </w:r>
      <w:r>
        <w:rPr>
          <w:rFonts w:ascii="仿宋_GB2312" w:eastAsia="仿宋_GB2312" w:hAnsi="宋体" w:hint="eastAsia"/>
          <w:sz w:val="30"/>
          <w:szCs w:val="30"/>
        </w:rPr>
        <w:t>注释与参考文献的区别：注释是对论著正文中某一特定内容的进一步解释或补充说明，参考文献是作者写作论著时所参考的文献书目。</w:t>
      </w:r>
    </w:p>
    <w:p w:rsidR="0010790D" w:rsidRDefault="0010790D" w:rsidP="0010790D">
      <w:pPr>
        <w:spacing w:line="600" w:lineRule="exact"/>
        <w:ind w:firstLineChars="200" w:firstLine="602"/>
        <w:rPr>
          <w:rFonts w:ascii="仿宋_GB2312" w:eastAsia="仿宋_GB2312" w:hAnsi="黑体"/>
          <w:b/>
          <w:sz w:val="30"/>
          <w:szCs w:val="30"/>
          <w:lang w:val="zh-CN"/>
        </w:rPr>
      </w:pPr>
      <w:r>
        <w:rPr>
          <w:rFonts w:ascii="仿宋_GB2312" w:eastAsia="仿宋_GB2312" w:hAnsi="黑体" w:hint="eastAsia"/>
          <w:b/>
          <w:sz w:val="30"/>
          <w:szCs w:val="30"/>
          <w:lang w:val="zh-CN"/>
        </w:rPr>
        <w:t>附：论文注释和参考文献格式要求</w:t>
      </w:r>
    </w:p>
    <w:p w:rsidR="0010790D" w:rsidRDefault="0010790D" w:rsidP="0010790D">
      <w:pPr>
        <w:spacing w:line="600" w:lineRule="exact"/>
        <w:ind w:firstLineChars="200" w:firstLine="600"/>
        <w:jc w:val="center"/>
        <w:rPr>
          <w:rFonts w:ascii="黑体" w:eastAsia="黑体" w:hAnsi="黑体" w:cs="黑体"/>
          <w:sz w:val="30"/>
          <w:szCs w:val="30"/>
          <w:lang w:val="zh-CN"/>
        </w:rPr>
      </w:pPr>
      <w:r>
        <w:rPr>
          <w:rFonts w:ascii="黑体" w:eastAsia="黑体" w:hAnsi="黑体" w:cs="黑体" w:hint="eastAsia"/>
          <w:sz w:val="30"/>
          <w:szCs w:val="30"/>
          <w:lang w:val="zh-CN"/>
        </w:rPr>
        <w:t>注释格式要求</w:t>
      </w:r>
    </w:p>
    <w:p w:rsidR="0010790D" w:rsidRDefault="0010790D" w:rsidP="0010790D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注释采取脚注形式，文中表明处放在右上角，用①②③</w:t>
      </w:r>
      <w:r>
        <w:rPr>
          <w:rFonts w:ascii="仿宋_GB2312" w:eastAsia="仿宋_GB2312" w:hAnsi="宋体"/>
          <w:sz w:val="30"/>
          <w:szCs w:val="30"/>
          <w:lang w:val="zh-CN"/>
        </w:rPr>
        <w:t>……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标出。符合本学科学术规范，论文所有引用的中外文资料都要注明出处。中外文注释要注明所用资料的原文版作者、书名、出版商、出版年月、页码。例如：</w:t>
      </w:r>
    </w:p>
    <w:p w:rsidR="0010790D" w:rsidRDefault="0010790D" w:rsidP="0010790D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著作类——胡慧琳：《文化产业与管理》，南开大学出版社，2007年版，第39页。</w:t>
      </w:r>
    </w:p>
    <w:p w:rsidR="0010790D" w:rsidRDefault="0010790D" w:rsidP="0010790D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lastRenderedPageBreak/>
        <w:t>报纸文章类——胡慧琳：《要把文化产业作为意识形态来抓》，《中国文化报》，2002年3月23日。</w:t>
      </w:r>
    </w:p>
    <w:p w:rsidR="0010790D" w:rsidRDefault="0010790D" w:rsidP="0010790D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期刊文章类——史安斌：《全球网络传播中的文化》，《新闻与传播研究》，1999年第1期。</w:t>
      </w:r>
    </w:p>
    <w:p w:rsidR="0010790D" w:rsidRDefault="0010790D" w:rsidP="0010790D">
      <w:pPr>
        <w:spacing w:line="600" w:lineRule="exact"/>
        <w:jc w:val="center"/>
        <w:rPr>
          <w:rFonts w:ascii="黑体" w:eastAsia="黑体" w:hAnsi="黑体" w:cs="黑体"/>
          <w:sz w:val="30"/>
          <w:szCs w:val="30"/>
          <w:lang w:val="zh-CN"/>
        </w:rPr>
      </w:pPr>
      <w:r>
        <w:rPr>
          <w:rFonts w:ascii="黑体" w:eastAsia="黑体" w:hAnsi="黑体" w:cs="黑体" w:hint="eastAsia"/>
          <w:sz w:val="30"/>
          <w:szCs w:val="30"/>
          <w:lang w:val="zh-CN"/>
        </w:rPr>
        <w:t>参考文献格式要求</w:t>
      </w:r>
    </w:p>
    <w:p w:rsidR="0010790D" w:rsidRDefault="0010790D" w:rsidP="0010790D">
      <w:pPr>
        <w:spacing w:line="600" w:lineRule="exact"/>
        <w:ind w:firstLineChars="200" w:firstLine="600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参考文献统一放在文章最后，序号用方括号[1][2][3]</w:t>
      </w:r>
      <w:r>
        <w:rPr>
          <w:rFonts w:ascii="仿宋_GB2312" w:eastAsia="仿宋_GB2312" w:hAnsi="宋体"/>
          <w:sz w:val="30"/>
          <w:szCs w:val="30"/>
          <w:lang w:val="zh-CN"/>
        </w:rPr>
        <w:t>……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标出，序号左顶格。参照ISO690及ISO690-2，每一参考文献条目的最后均以“.”结束。各类参考文献条目的编排格式及示例如下：</w:t>
      </w:r>
    </w:p>
    <w:p w:rsidR="0010790D" w:rsidRDefault="0010790D" w:rsidP="0010790D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a. 专著、论文集、学位论文、报告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[序号]主要责任者.文献题名[文献类型标识].出版地：出版者，出版年.起止页码(任选).（中译本前要加国别）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[1] [英]M奥康诺尔著，王耀先译．科技书刊的编译工作[M].北京：人民教育出版社，1982.56－57.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[2] 辛希孟.信息技术与信息服务国际研讨会论文集：A集[C].北京：中国社会科学出版社，1994.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[3] 张筑生.微分半动力系统的不变集[D].北京：北京大学数学系数学研究所，1983.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[4] 冯西桥.核反应堆压力管道与压力容器的LBB分析[R].北京：清华大学核能技术设计研究院，1997.</w:t>
      </w:r>
    </w:p>
    <w:p w:rsidR="0010790D" w:rsidRDefault="0010790D" w:rsidP="0010790D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b. 期刊文章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[序号]主要责任者.文献题名[J].刊名，年，卷(期)：起止页码.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[5] 何龄修.读顾城《南明史》[J].中国史研究，1998，(3)：167-173.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[6] 金显贺，王昌长，王忠东，等.一种用于在线检测局部放电的数字</w:t>
      </w:r>
      <w:r>
        <w:rPr>
          <w:rFonts w:ascii="仿宋_GB2312" w:eastAsia="仿宋_GB2312" w:hAnsi="宋体" w:hint="eastAsia"/>
          <w:sz w:val="30"/>
          <w:szCs w:val="30"/>
          <w:lang w:val="zh-CN"/>
        </w:rPr>
        <w:lastRenderedPageBreak/>
        <w:t>滤波技术[J].清华大学学报(自然科学版)，1993，33(4)：62-67.</w:t>
      </w:r>
    </w:p>
    <w:p w:rsidR="0010790D" w:rsidRDefault="0010790D" w:rsidP="0010790D">
      <w:pPr>
        <w:spacing w:line="600" w:lineRule="exact"/>
        <w:jc w:val="center"/>
        <w:rPr>
          <w:rFonts w:ascii="仿宋_GB2312" w:eastAsia="仿宋_GB2312" w:hAnsi="黑体"/>
          <w:b/>
          <w:bCs/>
          <w:sz w:val="30"/>
          <w:szCs w:val="30"/>
          <w:lang w:val="zh-CN"/>
        </w:rPr>
      </w:pPr>
      <w:r>
        <w:rPr>
          <w:rFonts w:ascii="仿宋_GB2312" w:eastAsia="仿宋_GB2312" w:hAnsi="黑体" w:hint="eastAsia"/>
          <w:b/>
          <w:bCs/>
          <w:sz w:val="30"/>
          <w:szCs w:val="30"/>
          <w:lang w:val="zh-CN"/>
        </w:rPr>
        <w:t>c. 论文集中的析出文献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[序号]析出文献主要责任者.析出文献题名[A].原文献主要责任者(任选).原文献题名[C].出版地：出版者，出版年.析出文献起止页码.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[7] 钟文发.非线性规划在可燃毒物配置中的应用[A].赵玮.运筹学的理论与应用——中国运筹学会第五届大会论文集[C].西安：西安电子科技大学出版社，1996.468-471.</w:t>
      </w:r>
    </w:p>
    <w:p w:rsidR="0010790D" w:rsidRDefault="0010790D" w:rsidP="0010790D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d. 报纸文章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[序号]主要责任者.文献题名[N].报纸名，出版日期(版次).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[8] 谢希德.创造学习的新思路[N].人民日报，1998-12-25(10).</w:t>
      </w:r>
    </w:p>
    <w:p w:rsidR="0010790D" w:rsidRDefault="0010790D" w:rsidP="0010790D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e. 国际、国家标准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[序号]标准编号，标准名称[S].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[9] GB/T16159-1996，汉语拼音正词法基本规则[S].</w:t>
      </w:r>
    </w:p>
    <w:p w:rsidR="0010790D" w:rsidRDefault="0010790D" w:rsidP="0010790D">
      <w:pPr>
        <w:spacing w:line="600" w:lineRule="exact"/>
        <w:ind w:firstLineChars="1150" w:firstLine="3463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f. 专利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[序号]专利所有者.专利题名[P].专利国别：专利号，出版日期.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[10] 姜锡洲.一种温热外敷药制备方案[P].中国专利：881056073，1989-07-26.</w:t>
      </w:r>
    </w:p>
    <w:p w:rsidR="0010790D" w:rsidRDefault="0010790D" w:rsidP="0010790D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g. 电子文献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[序号]主要责任者.电子文献题名[电子文献及载体类型标识].电子文献的出处或可获得地址，发表或更新日期/引用日期(任选).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 xml:space="preserve">[11] 王明亮.关于中国学术期刊标准化数据库系统工程的进展[EB/OL]. </w:t>
      </w:r>
      <w:r>
        <w:rPr>
          <w:rFonts w:ascii="仿宋_GB2312" w:eastAsia="仿宋_GB2312" w:hAnsi="宋体" w:hint="eastAsia"/>
          <w:spacing w:val="-2"/>
          <w:sz w:val="30"/>
          <w:szCs w:val="30"/>
          <w:lang w:val="zh-CN"/>
        </w:rPr>
        <w:t>http://www.cajcd.edu.cn/pub/wml.txt/980810-2.html,1998-08-16/</w:t>
      </w:r>
      <w:r>
        <w:rPr>
          <w:rFonts w:ascii="仿宋_GB2312" w:eastAsia="仿宋_GB2312" w:hAnsi="宋体" w:hint="eastAsia"/>
          <w:spacing w:val="-2"/>
          <w:sz w:val="30"/>
          <w:szCs w:val="30"/>
          <w:lang w:val="zh-CN"/>
        </w:rPr>
        <w:lastRenderedPageBreak/>
        <w:t>1998-10-04</w:t>
      </w:r>
      <w:r>
        <w:rPr>
          <w:rFonts w:ascii="仿宋_GB2312" w:eastAsia="仿宋_GB2312" w:hAnsi="宋体" w:hint="eastAsia"/>
          <w:sz w:val="30"/>
          <w:szCs w:val="30"/>
          <w:lang w:val="zh-CN"/>
        </w:rPr>
        <w:t>.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sz w:val="30"/>
          <w:szCs w:val="30"/>
          <w:lang w:val="zh-CN"/>
        </w:rPr>
      </w:pPr>
      <w:r>
        <w:rPr>
          <w:rFonts w:ascii="仿宋_GB2312" w:eastAsia="仿宋_GB2312" w:hAnsi="宋体" w:hint="eastAsia"/>
          <w:sz w:val="30"/>
          <w:szCs w:val="30"/>
          <w:lang w:val="zh-CN"/>
        </w:rPr>
        <w:t>[12] 万锦坤.中国大学学报论文文摘(1983-1993).英文版[DB/CD].北京:中国大百科全书出版社，1996.</w:t>
      </w:r>
    </w:p>
    <w:p w:rsidR="0010790D" w:rsidRDefault="0010790D" w:rsidP="0010790D">
      <w:pPr>
        <w:spacing w:line="600" w:lineRule="exact"/>
        <w:jc w:val="center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h. 各种未定义类型的文献</w:t>
      </w:r>
    </w:p>
    <w:p w:rsidR="0010790D" w:rsidRDefault="0010790D" w:rsidP="0010790D">
      <w:pPr>
        <w:spacing w:line="600" w:lineRule="exact"/>
        <w:rPr>
          <w:rFonts w:ascii="仿宋_GB2312" w:eastAsia="仿宋_GB2312" w:hAnsi="宋体"/>
          <w:b/>
          <w:sz w:val="30"/>
          <w:szCs w:val="30"/>
          <w:lang w:val="zh-CN"/>
        </w:rPr>
      </w:pPr>
      <w:r>
        <w:rPr>
          <w:rFonts w:ascii="仿宋_GB2312" w:eastAsia="仿宋_GB2312" w:hAnsi="宋体" w:hint="eastAsia"/>
          <w:b/>
          <w:sz w:val="30"/>
          <w:szCs w:val="30"/>
          <w:lang w:val="zh-CN"/>
        </w:rPr>
        <w:t>[序号]主要责任者.文献题名[Z].出版地：出版者，出版年.</w:t>
      </w:r>
    </w:p>
    <w:p w:rsidR="0010790D" w:rsidRDefault="0010790D" w:rsidP="0010790D">
      <w:pPr>
        <w:spacing w:line="600" w:lineRule="exact"/>
        <w:ind w:firstLineChars="196" w:firstLine="590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7、作者介绍：</w:t>
      </w:r>
      <w:r>
        <w:rPr>
          <w:rFonts w:ascii="仿宋_GB2312" w:eastAsia="仿宋_GB2312" w:hAnsi="宋体" w:hint="eastAsia"/>
          <w:sz w:val="30"/>
          <w:szCs w:val="30"/>
        </w:rPr>
        <w:t>楷体五号，夹在圆括号内，格式如下：</w:t>
      </w:r>
    </w:p>
    <w:p w:rsidR="0010790D" w:rsidRDefault="0010790D" w:rsidP="0010790D">
      <w:pPr>
        <w:spacing w:line="600" w:lineRule="exact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黑体" w:hint="eastAsia"/>
          <w:color w:val="000000"/>
          <w:sz w:val="30"/>
          <w:szCs w:val="30"/>
        </w:rPr>
        <w:t>（作者简介：</w:t>
      </w:r>
      <w:r>
        <w:rPr>
          <w:rFonts w:ascii="仿宋_GB2312" w:eastAsia="仿宋_GB2312" w:hAnsi="Calibri" w:hint="eastAsia"/>
          <w:sz w:val="30"/>
          <w:szCs w:val="30"/>
        </w:rPr>
        <w:t>×××，男，×××大学×××学院院长、教授）</w:t>
      </w:r>
    </w:p>
    <w:p w:rsidR="0010790D" w:rsidRDefault="0010790D" w:rsidP="0010790D">
      <w:pPr>
        <w:spacing w:line="600" w:lineRule="exact"/>
        <w:ind w:firstLineChars="200" w:firstLine="602"/>
        <w:rPr>
          <w:rFonts w:ascii="仿宋_GB2312" w:eastAsia="仿宋_GB2312" w:hAnsi="Calibri"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8、文章最后：附作者联系电话、手机和邮箱、QQ号，以便联系。</w:t>
      </w:r>
    </w:p>
    <w:p w:rsidR="0010790D" w:rsidRDefault="0010790D" w:rsidP="0010790D">
      <w:pPr>
        <w:spacing w:line="600" w:lineRule="exact"/>
        <w:rPr>
          <w:rFonts w:ascii="等线" w:eastAsia="等线" w:hAnsi="等线"/>
          <w:szCs w:val="22"/>
        </w:rPr>
      </w:pPr>
    </w:p>
    <w:p w:rsidR="0010790D" w:rsidRDefault="0010790D" w:rsidP="0010790D">
      <w:pPr>
        <w:rPr>
          <w:sz w:val="28"/>
          <w:szCs w:val="28"/>
        </w:rPr>
      </w:pPr>
    </w:p>
    <w:p w:rsidR="0010790D" w:rsidRDefault="0010790D" w:rsidP="0010790D">
      <w:pPr>
        <w:ind w:firstLineChars="200" w:firstLine="560"/>
        <w:rPr>
          <w:sz w:val="28"/>
          <w:szCs w:val="28"/>
        </w:rPr>
      </w:pPr>
    </w:p>
    <w:p w:rsidR="0010790D" w:rsidRDefault="0010790D" w:rsidP="0010790D">
      <w:pPr>
        <w:ind w:firstLineChars="200" w:firstLine="560"/>
        <w:rPr>
          <w:sz w:val="28"/>
          <w:szCs w:val="28"/>
        </w:rPr>
      </w:pPr>
    </w:p>
    <w:p w:rsidR="0010790D" w:rsidRDefault="0010790D" w:rsidP="0010790D">
      <w:pPr>
        <w:ind w:firstLineChars="200" w:firstLine="560"/>
        <w:rPr>
          <w:sz w:val="28"/>
          <w:szCs w:val="28"/>
        </w:rPr>
      </w:pPr>
    </w:p>
    <w:p w:rsidR="0010790D" w:rsidRDefault="0010790D" w:rsidP="0010790D">
      <w:pPr>
        <w:ind w:firstLineChars="200" w:firstLine="560"/>
        <w:rPr>
          <w:sz w:val="28"/>
          <w:szCs w:val="28"/>
        </w:rPr>
      </w:pPr>
    </w:p>
    <w:p w:rsidR="0010790D" w:rsidRDefault="0010790D" w:rsidP="0010790D">
      <w:pPr>
        <w:ind w:firstLineChars="200" w:firstLine="560"/>
        <w:rPr>
          <w:sz w:val="28"/>
          <w:szCs w:val="28"/>
        </w:rPr>
      </w:pPr>
    </w:p>
    <w:p w:rsidR="00153D90" w:rsidRPr="0010790D" w:rsidRDefault="00153D90"/>
    <w:sectPr w:rsidR="00153D90" w:rsidRPr="0010790D" w:rsidSect="005D777B">
      <w:pgSz w:w="11906" w:h="16838"/>
      <w:pgMar w:top="1440" w:right="1418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3B8" w:rsidRDefault="00D813B8" w:rsidP="0010790D">
      <w:r>
        <w:separator/>
      </w:r>
    </w:p>
  </w:endnote>
  <w:endnote w:type="continuationSeparator" w:id="1">
    <w:p w:rsidR="00D813B8" w:rsidRDefault="00D813B8" w:rsidP="0010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3B8" w:rsidRDefault="00D813B8" w:rsidP="0010790D">
      <w:r>
        <w:separator/>
      </w:r>
    </w:p>
  </w:footnote>
  <w:footnote w:type="continuationSeparator" w:id="1">
    <w:p w:rsidR="00D813B8" w:rsidRDefault="00D813B8" w:rsidP="0010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126B"/>
    <w:rsid w:val="0010790D"/>
    <w:rsid w:val="00153D90"/>
    <w:rsid w:val="003B2122"/>
    <w:rsid w:val="005A0F02"/>
    <w:rsid w:val="005D777B"/>
    <w:rsid w:val="009C2E14"/>
    <w:rsid w:val="00D813B8"/>
    <w:rsid w:val="00EB126B"/>
    <w:rsid w:val="00ED0B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07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07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07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079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295</Words>
  <Characters>1685</Characters>
  <Application>Microsoft Office Word</Application>
  <DocSecurity>0</DocSecurity>
  <Lines>14</Lines>
  <Paragraphs>3</Paragraphs>
  <ScaleCrop>false</ScaleCrop>
  <Company>Sky123.Org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gongjl</cp:lastModifiedBy>
  <cp:revision>2</cp:revision>
  <dcterms:created xsi:type="dcterms:W3CDTF">2018-09-03T07:23:00Z</dcterms:created>
  <dcterms:modified xsi:type="dcterms:W3CDTF">2018-09-03T07:23:00Z</dcterms:modified>
</cp:coreProperties>
</file>